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35"/>
        <w:gridCol w:w="1325"/>
        <w:gridCol w:w="9245"/>
        <w:gridCol w:w="835"/>
      </w:tblGrid>
      <w:tr w:rsidR="00304925" w14:paraId="6986B6CC" w14:textId="77777777" w:rsidTr="00444561">
        <w:tc>
          <w:tcPr>
            <w:tcW w:w="835" w:type="dxa"/>
            <w:shd w:val="clear" w:color="auto" w:fill="F2F2F2" w:themeFill="background1" w:themeFillShade="F2"/>
          </w:tcPr>
          <w:p w14:paraId="71F465D7" w14:textId="77777777" w:rsidR="00304925" w:rsidRDefault="00304925"/>
        </w:tc>
        <w:tc>
          <w:tcPr>
            <w:tcW w:w="1325" w:type="dxa"/>
            <w:shd w:val="clear" w:color="auto" w:fill="F2F2F2" w:themeFill="background1" w:themeFillShade="F2"/>
          </w:tcPr>
          <w:p w14:paraId="47F3DB85" w14:textId="77777777" w:rsidR="00304925" w:rsidRDefault="00304925" w:rsidP="00304925">
            <w:pPr>
              <w:jc w:val="right"/>
            </w:pPr>
          </w:p>
          <w:p w14:paraId="7139653D" w14:textId="77777777" w:rsidR="00304925" w:rsidRDefault="00304925" w:rsidP="00304925">
            <w:pPr>
              <w:jc w:val="right"/>
            </w:pPr>
          </w:p>
          <w:p w14:paraId="41EDD2E4" w14:textId="77777777" w:rsidR="00304925" w:rsidRDefault="00304925" w:rsidP="00304925">
            <w:pPr>
              <w:jc w:val="right"/>
            </w:pPr>
          </w:p>
          <w:p w14:paraId="5BC046E0" w14:textId="77777777" w:rsidR="00EB54A4" w:rsidRDefault="00EB54A4" w:rsidP="00304925">
            <w:pPr>
              <w:jc w:val="right"/>
            </w:pPr>
          </w:p>
          <w:p w14:paraId="7A6BD53D" w14:textId="77777777" w:rsidR="00EB54A4" w:rsidRPr="00304925" w:rsidRDefault="00EB54A4" w:rsidP="00304925">
            <w:pPr>
              <w:jc w:val="right"/>
            </w:pPr>
          </w:p>
        </w:tc>
        <w:tc>
          <w:tcPr>
            <w:tcW w:w="9245" w:type="dxa"/>
            <w:shd w:val="clear" w:color="auto" w:fill="F2F2F2" w:themeFill="background1" w:themeFillShade="F2"/>
          </w:tcPr>
          <w:p w14:paraId="15E08B82" w14:textId="77777777" w:rsidR="00EB54A4" w:rsidRPr="00304925" w:rsidRDefault="00EB54A4" w:rsidP="00304925"/>
        </w:tc>
        <w:tc>
          <w:tcPr>
            <w:tcW w:w="835" w:type="dxa"/>
            <w:shd w:val="clear" w:color="auto" w:fill="F2F2F2" w:themeFill="background1" w:themeFillShade="F2"/>
          </w:tcPr>
          <w:p w14:paraId="6254C7ED" w14:textId="77777777" w:rsidR="00304925" w:rsidRDefault="00304925"/>
        </w:tc>
      </w:tr>
      <w:tr w:rsidR="00304925" w14:paraId="50C19712" w14:textId="77777777" w:rsidTr="00444561">
        <w:tc>
          <w:tcPr>
            <w:tcW w:w="835" w:type="dxa"/>
            <w:shd w:val="clear" w:color="auto" w:fill="F2F2F2" w:themeFill="background1" w:themeFillShade="F2"/>
          </w:tcPr>
          <w:p w14:paraId="701F98EE" w14:textId="77777777" w:rsidR="00304925" w:rsidRDefault="00304925"/>
        </w:tc>
        <w:tc>
          <w:tcPr>
            <w:tcW w:w="1325" w:type="dxa"/>
            <w:shd w:val="clear" w:color="auto" w:fill="F2F2F2" w:themeFill="background1" w:themeFillShade="F2"/>
          </w:tcPr>
          <w:p w14:paraId="073AE716" w14:textId="77777777" w:rsidR="00304925" w:rsidRPr="00E560D8" w:rsidRDefault="00304925" w:rsidP="00304925">
            <w:pPr>
              <w:jc w:val="right"/>
              <w:rPr>
                <w:b/>
                <w:color w:val="808080" w:themeColor="background1" w:themeShade="80"/>
              </w:rPr>
            </w:pPr>
            <w:r w:rsidRPr="00E560D8">
              <w:rPr>
                <w:b/>
                <w:color w:val="808080" w:themeColor="background1" w:themeShade="80"/>
              </w:rPr>
              <w:t>Subject:</w:t>
            </w:r>
          </w:p>
          <w:p w14:paraId="79BFFDF2" w14:textId="77777777" w:rsidR="00304925" w:rsidRPr="00D354B5" w:rsidRDefault="002D7A59" w:rsidP="00304925">
            <w:pPr>
              <w:jc w:val="right"/>
              <w:rPr>
                <w:color w:val="808080" w:themeColor="background1" w:themeShade="80"/>
              </w:rPr>
            </w:pPr>
            <w:r>
              <w:rPr>
                <w:color w:val="808080" w:themeColor="background1" w:themeShade="80"/>
              </w:rPr>
              <w:t>From:</w:t>
            </w:r>
            <w:r>
              <w:rPr>
                <w:color w:val="808080" w:themeColor="background1" w:themeShade="80"/>
              </w:rPr>
              <w:cr/>
              <w:t>BCC</w:t>
            </w:r>
            <w:r w:rsidR="00304925" w:rsidRPr="00D354B5">
              <w:rPr>
                <w:color w:val="808080" w:themeColor="background1" w:themeShade="80"/>
              </w:rPr>
              <w:t>:</w:t>
            </w:r>
          </w:p>
          <w:p w14:paraId="557E2DA4" w14:textId="77777777" w:rsidR="00304925" w:rsidRPr="00D354B5" w:rsidRDefault="00304925" w:rsidP="00304925">
            <w:pPr>
              <w:jc w:val="right"/>
              <w:rPr>
                <w:color w:val="808080" w:themeColor="background1" w:themeShade="80"/>
              </w:rPr>
            </w:pPr>
            <w:r w:rsidRPr="00D354B5">
              <w:rPr>
                <w:color w:val="808080" w:themeColor="background1" w:themeShade="80"/>
              </w:rPr>
              <w:t>Date:</w:t>
            </w:r>
          </w:p>
        </w:tc>
        <w:tc>
          <w:tcPr>
            <w:tcW w:w="9245" w:type="dxa"/>
            <w:shd w:val="clear" w:color="auto" w:fill="F2F2F2" w:themeFill="background1" w:themeFillShade="F2"/>
          </w:tcPr>
          <w:p w14:paraId="64A9C8D0" w14:textId="77777777" w:rsidR="00304925" w:rsidRPr="00E560D8" w:rsidRDefault="00BF4643" w:rsidP="00304925">
            <w:pPr>
              <w:rPr>
                <w:b/>
              </w:rPr>
            </w:pPr>
            <w:r>
              <w:rPr>
                <w:b/>
              </w:rPr>
              <w:t xml:space="preserve">WAY TO WELLNESS- </w:t>
            </w:r>
            <w:r w:rsidR="00554DF0">
              <w:rPr>
                <w:b/>
              </w:rPr>
              <w:t xml:space="preserve">March </w:t>
            </w:r>
            <w:r>
              <w:rPr>
                <w:b/>
              </w:rPr>
              <w:t>2019</w:t>
            </w:r>
          </w:p>
          <w:p w14:paraId="6089C467" w14:textId="77777777" w:rsidR="00304925" w:rsidRDefault="00D14F2E" w:rsidP="00304925">
            <w:r w:rsidRPr="00D14F2E">
              <w:rPr>
                <w:highlight w:val="yellow"/>
              </w:rPr>
              <w:t>X</w:t>
            </w:r>
          </w:p>
          <w:p w14:paraId="20409264" w14:textId="77777777" w:rsidR="00304925" w:rsidRPr="0056590B" w:rsidRDefault="002D7A59" w:rsidP="00304925">
            <w:pPr>
              <w:rPr>
                <w:i/>
              </w:rPr>
            </w:pPr>
            <w:r w:rsidRPr="0056590B">
              <w:rPr>
                <w:i/>
              </w:rPr>
              <w:t>Group lists should go in the BCC field whenever possible</w:t>
            </w:r>
          </w:p>
          <w:p w14:paraId="683CBA2D" w14:textId="77777777" w:rsidR="00304925" w:rsidRDefault="000878B9" w:rsidP="00304925">
            <w:r>
              <w:t>February 1</w:t>
            </w:r>
            <w:r w:rsidRPr="000878B9">
              <w:rPr>
                <w:vertAlign w:val="superscript"/>
              </w:rPr>
              <w:t>st</w:t>
            </w:r>
            <w:r>
              <w:t xml:space="preserve"> </w:t>
            </w:r>
            <w:r w:rsidR="00BF4643">
              <w:t>, 2019</w:t>
            </w:r>
          </w:p>
        </w:tc>
        <w:tc>
          <w:tcPr>
            <w:tcW w:w="835" w:type="dxa"/>
            <w:shd w:val="clear" w:color="auto" w:fill="F2F2F2" w:themeFill="background1" w:themeFillShade="F2"/>
          </w:tcPr>
          <w:p w14:paraId="7CBF44DC" w14:textId="77777777" w:rsidR="00304925" w:rsidRDefault="00304925"/>
        </w:tc>
      </w:tr>
      <w:tr w:rsidR="00304925" w14:paraId="0DD20CA9" w14:textId="77777777" w:rsidTr="00444561">
        <w:tc>
          <w:tcPr>
            <w:tcW w:w="835" w:type="dxa"/>
            <w:shd w:val="clear" w:color="auto" w:fill="F2F2F2" w:themeFill="background1" w:themeFillShade="F2"/>
          </w:tcPr>
          <w:p w14:paraId="2DCD5DCA" w14:textId="77777777" w:rsidR="00304925" w:rsidRDefault="00304925"/>
        </w:tc>
        <w:tc>
          <w:tcPr>
            <w:tcW w:w="1325" w:type="dxa"/>
            <w:shd w:val="clear" w:color="auto" w:fill="F2F2F2" w:themeFill="background1" w:themeFillShade="F2"/>
          </w:tcPr>
          <w:p w14:paraId="3A93D677" w14:textId="77777777" w:rsidR="00304925" w:rsidRPr="00304925" w:rsidRDefault="00304925" w:rsidP="00304925">
            <w:pPr>
              <w:jc w:val="right"/>
            </w:pPr>
          </w:p>
        </w:tc>
        <w:tc>
          <w:tcPr>
            <w:tcW w:w="9245" w:type="dxa"/>
            <w:shd w:val="clear" w:color="auto" w:fill="F2F2F2" w:themeFill="background1" w:themeFillShade="F2"/>
          </w:tcPr>
          <w:p w14:paraId="54976307" w14:textId="77777777" w:rsidR="00304925" w:rsidRPr="00304925" w:rsidRDefault="00304925" w:rsidP="00304925"/>
        </w:tc>
        <w:tc>
          <w:tcPr>
            <w:tcW w:w="835" w:type="dxa"/>
            <w:shd w:val="clear" w:color="auto" w:fill="F2F2F2" w:themeFill="background1" w:themeFillShade="F2"/>
          </w:tcPr>
          <w:p w14:paraId="4EBEEE8A" w14:textId="77777777" w:rsidR="00304925" w:rsidRDefault="00304925"/>
        </w:tc>
      </w:tr>
    </w:tbl>
    <w:p w14:paraId="4E3C71C8" w14:textId="77777777" w:rsidR="00723EAF" w:rsidRDefault="00723EAF"/>
    <w:p w14:paraId="7FE5DCF2" w14:textId="77777777" w:rsidR="00304925" w:rsidRPr="00D354B5" w:rsidRDefault="00D354B5">
      <w:pPr>
        <w:rPr>
          <w:i/>
          <w:color w:val="C0504D" w:themeColor="accent2"/>
        </w:rPr>
      </w:pPr>
      <w:r w:rsidRPr="00D354B5">
        <w:rPr>
          <w:i/>
          <w:color w:val="C0504D" w:themeColor="accent2"/>
        </w:rPr>
        <w:t>(</w:t>
      </w:r>
      <w:r>
        <w:rPr>
          <w:i/>
          <w:color w:val="C0504D" w:themeColor="accent2"/>
        </w:rPr>
        <w:t xml:space="preserve">Copy </w:t>
      </w:r>
      <w:r w:rsidR="00437A16">
        <w:rPr>
          <w:i/>
          <w:color w:val="C0504D" w:themeColor="accent2"/>
        </w:rPr>
        <w:t>everything below this line</w:t>
      </w:r>
      <w:r w:rsidR="00EF0B74">
        <w:rPr>
          <w:i/>
          <w:color w:val="C0504D" w:themeColor="accent2"/>
        </w:rPr>
        <w:t xml:space="preserve"> </w:t>
      </w:r>
      <w:r>
        <w:rPr>
          <w:i/>
          <w:color w:val="C0504D" w:themeColor="accent2"/>
        </w:rPr>
        <w:t xml:space="preserve">then paste it into </w:t>
      </w:r>
      <w:r w:rsidRPr="00D354B5">
        <w:rPr>
          <w:i/>
          <w:color w:val="C0504D" w:themeColor="accent2"/>
        </w:rPr>
        <w:t>a</w:t>
      </w:r>
      <w:r>
        <w:rPr>
          <w:i/>
          <w:color w:val="C0504D" w:themeColor="accent2"/>
        </w:rPr>
        <w:t xml:space="preserve"> blank </w:t>
      </w:r>
      <w:r w:rsidRPr="00D354B5">
        <w:rPr>
          <w:i/>
          <w:color w:val="C0504D" w:themeColor="accent2"/>
        </w:rPr>
        <w:t>email message</w:t>
      </w:r>
      <w:r>
        <w:rPr>
          <w:i/>
          <w:color w:val="C0504D" w:themeColor="accent2"/>
        </w:rPr>
        <w:t xml:space="preserve"> in Outlook</w:t>
      </w:r>
      <w:r w:rsidRPr="00D354B5">
        <w:rPr>
          <w:i/>
          <w:color w:val="C0504D" w:themeColor="accent2"/>
        </w:rPr>
        <w:t xml:space="preserve">.) </w:t>
      </w:r>
    </w:p>
    <w:p w14:paraId="305A2135" w14:textId="77777777" w:rsidR="00D354B5" w:rsidRDefault="00D354B5"/>
    <w:p w14:paraId="0CB8BA4F" w14:textId="77777777" w:rsidR="00EB54A4" w:rsidRDefault="00EB54A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1"/>
      </w:tblGrid>
      <w:tr w:rsidR="00373CA7" w:rsidRPr="00BF4643" w14:paraId="3DEF43D6" w14:textId="77777777" w:rsidTr="0084418E">
        <w:trPr>
          <w:jc w:val="center"/>
        </w:trPr>
        <w:tc>
          <w:tcPr>
            <w:tcW w:w="9841" w:type="dxa"/>
          </w:tcPr>
          <w:p w14:paraId="25D02A30" w14:textId="77777777" w:rsidR="00373CA7" w:rsidRPr="00BF4643" w:rsidRDefault="00C30962">
            <w:pPr>
              <w:rPr>
                <w:b/>
              </w:rPr>
            </w:pPr>
            <w:bookmarkStart w:id="0" w:name="_GoBack"/>
            <w:r w:rsidRPr="00BF4643">
              <w:rPr>
                <w:b/>
                <w:noProof/>
              </w:rPr>
              <w:drawing>
                <wp:inline distT="0" distB="0" distL="0" distR="0" wp14:anchorId="00D32F23" wp14:editId="3961E368">
                  <wp:extent cx="6172200" cy="2569178"/>
                  <wp:effectExtent l="0" t="0" r="0" b="3175"/>
                  <wp:docPr id="2" name="Picture 2" descr="C:\Users\ayana.collins\Downloads\EPICW2W_2019_Ban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na.collins\Downloads\EPICW2W_2019_Banners.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186204" cy="2575007"/>
                          </a:xfrm>
                          <a:prstGeom prst="rect">
                            <a:avLst/>
                          </a:prstGeom>
                          <a:noFill/>
                          <a:ln>
                            <a:noFill/>
                          </a:ln>
                        </pic:spPr>
                      </pic:pic>
                    </a:graphicData>
                  </a:graphic>
                </wp:inline>
              </w:drawing>
            </w:r>
            <w:bookmarkEnd w:id="0"/>
          </w:p>
        </w:tc>
      </w:tr>
      <w:tr w:rsidR="00373CA7" w14:paraId="44371E93" w14:textId="77777777" w:rsidTr="0084418E">
        <w:trPr>
          <w:trHeight w:val="5130"/>
          <w:jc w:val="center"/>
        </w:trPr>
        <w:tc>
          <w:tcPr>
            <w:tcW w:w="9841" w:type="dxa"/>
            <w:tcBorders>
              <w:bottom w:val="single" w:sz="6" w:space="0" w:color="BFBFBF" w:themeColor="background1" w:themeShade="BF"/>
            </w:tcBorders>
            <w:tcMar>
              <w:top w:w="360" w:type="dxa"/>
              <w:left w:w="360" w:type="dxa"/>
              <w:bottom w:w="360" w:type="dxa"/>
              <w:right w:w="360" w:type="dxa"/>
            </w:tcMar>
          </w:tcPr>
          <w:p w14:paraId="1F0A3EC3" w14:textId="77777777" w:rsidR="00C30962" w:rsidRPr="00C30962" w:rsidRDefault="00554DF0" w:rsidP="00C30962">
            <w:pPr>
              <w:rPr>
                <w:b/>
                <w:color w:val="1F497D" w:themeColor="text2"/>
              </w:rPr>
            </w:pPr>
            <w:r>
              <w:rPr>
                <w:b/>
                <w:color w:val="1F497D" w:themeColor="text2"/>
              </w:rPr>
              <w:t xml:space="preserve">March </w:t>
            </w:r>
            <w:r w:rsidR="00C30962" w:rsidRPr="00C30962">
              <w:rPr>
                <w:b/>
                <w:color w:val="1F497D" w:themeColor="text2"/>
              </w:rPr>
              <w:t xml:space="preserve">2019- </w:t>
            </w:r>
            <w:r>
              <w:rPr>
                <w:b/>
                <w:color w:val="1F497D" w:themeColor="text2"/>
              </w:rPr>
              <w:t>Portion Sizes</w:t>
            </w:r>
          </w:p>
          <w:p w14:paraId="67168665" w14:textId="77777777" w:rsidR="00554DF0" w:rsidRDefault="00554DF0" w:rsidP="00554DF0"/>
          <w:p w14:paraId="662EBC70" w14:textId="77777777" w:rsidR="00554DF0" w:rsidRDefault="00554DF0" w:rsidP="00554DF0">
            <w:r>
              <w:t xml:space="preserve">This month we want to bring your attention to a phenomenon occurring in our society which negatively impacts the health of your employees: portion distortion. The typical portion sizes we find available today looked very different a few years ago. This leads to overeating, weight gain, and the many adverse health effects surrounding improper nutrition. </w:t>
            </w:r>
          </w:p>
          <w:p w14:paraId="29FFF62C" w14:textId="77777777" w:rsidR="00554DF0" w:rsidRDefault="00554DF0" w:rsidP="00554DF0"/>
          <w:p w14:paraId="5B93B586" w14:textId="77777777" w:rsidR="00554DF0" w:rsidRDefault="00554DF0" w:rsidP="00554DF0">
            <w:r>
              <w:t xml:space="preserve">We want to encourage you and your employee population to examine your plates and to understand what your nutrition needs are based on your individual body. What follows is a guide to discovering how much you of each nutrient you should be eating based on your unique body and goals, as well as information regarding the expansion of portion sizes through the years. </w:t>
            </w:r>
          </w:p>
          <w:p w14:paraId="4CA7B0B8" w14:textId="77777777" w:rsidR="0084418E" w:rsidRPr="006F59C2" w:rsidRDefault="0084418E" w:rsidP="0084418E"/>
          <w:p w14:paraId="583350EB" w14:textId="77777777" w:rsidR="0084418E" w:rsidRDefault="0084418E" w:rsidP="0084418E">
            <w:r>
              <w:t>To roll out this information to your employees:</w:t>
            </w:r>
          </w:p>
          <w:p w14:paraId="43B42B8D" w14:textId="77777777" w:rsidR="0084418E" w:rsidRDefault="0084418E" w:rsidP="0084418E"/>
          <w:p w14:paraId="71F79470" w14:textId="77777777" w:rsidR="0084418E" w:rsidRDefault="0084418E" w:rsidP="0084418E">
            <w:pPr>
              <w:pStyle w:val="ListParagraph"/>
              <w:numPr>
                <w:ilvl w:val="0"/>
                <w:numId w:val="5"/>
              </w:numPr>
              <w:spacing w:after="200" w:line="276" w:lineRule="auto"/>
            </w:pPr>
            <w:r>
              <w:t>Copy and send the following email to your employees and staff</w:t>
            </w:r>
          </w:p>
          <w:p w14:paraId="4206932F" w14:textId="77777777" w:rsidR="0084418E" w:rsidRDefault="0084418E" w:rsidP="0084418E">
            <w:pPr>
              <w:pStyle w:val="ListParagraph"/>
              <w:numPr>
                <w:ilvl w:val="0"/>
                <w:numId w:val="5"/>
              </w:numPr>
              <w:spacing w:after="200" w:line="276" w:lineRule="auto"/>
            </w:pPr>
            <w:r>
              <w:t>Post the pdf version of the attached documents to your intranet, HR portal</w:t>
            </w:r>
          </w:p>
          <w:p w14:paraId="11494DB7" w14:textId="77777777" w:rsidR="00773CFA" w:rsidRDefault="0084418E" w:rsidP="0084418E">
            <w:pPr>
              <w:pStyle w:val="ListParagraph"/>
              <w:numPr>
                <w:ilvl w:val="0"/>
                <w:numId w:val="5"/>
              </w:numPr>
              <w:spacing w:after="200" w:line="276" w:lineRule="auto"/>
            </w:pPr>
            <w:r>
              <w:t>Print out the pdf version of these documents and post them in common areas</w:t>
            </w:r>
          </w:p>
        </w:tc>
      </w:tr>
      <w:tr w:rsidR="004B56E1" w:rsidRPr="004B56E1" w14:paraId="5A98BB42" w14:textId="77777777" w:rsidTr="0084418E">
        <w:trPr>
          <w:jc w:val="center"/>
        </w:trPr>
        <w:tc>
          <w:tcPr>
            <w:tcW w:w="9841" w:type="dxa"/>
            <w:tcBorders>
              <w:top w:val="single" w:sz="6" w:space="0" w:color="BFBFBF" w:themeColor="background1" w:themeShade="BF"/>
            </w:tcBorders>
          </w:tcPr>
          <w:p w14:paraId="119CD6FB" w14:textId="77777777" w:rsidR="00A10369" w:rsidRDefault="00A10369" w:rsidP="004B56E1">
            <w:pPr>
              <w:jc w:val="center"/>
              <w:rPr>
                <w:color w:val="A6A6A6" w:themeColor="background1" w:themeShade="A6"/>
                <w:sz w:val="18"/>
              </w:rPr>
            </w:pPr>
          </w:p>
          <w:p w14:paraId="48F00C09" w14:textId="77777777" w:rsidR="004B56E1" w:rsidRPr="004B56E1" w:rsidRDefault="004B56E1" w:rsidP="004B56E1">
            <w:pPr>
              <w:jc w:val="center"/>
              <w:rPr>
                <w:color w:val="A6A6A6" w:themeColor="background1" w:themeShade="A6"/>
                <w:sz w:val="18"/>
              </w:rPr>
            </w:pPr>
          </w:p>
          <w:p w14:paraId="3C0A9F98" w14:textId="77777777" w:rsidR="0084418E" w:rsidRDefault="00554DF0" w:rsidP="00554DF0">
            <w:r>
              <w:t>Do you know how much you should be eating? Your caloric needs are yours alone, they are determined by your age, sex, height, weight, and physical activity.</w:t>
            </w:r>
          </w:p>
          <w:p w14:paraId="7E995A63" w14:textId="77777777" w:rsidR="0084418E" w:rsidRDefault="0084418E" w:rsidP="0084418E">
            <w:pPr>
              <w:pStyle w:val="ListParagraph"/>
            </w:pPr>
          </w:p>
          <w:p w14:paraId="5C2D95CD" w14:textId="77777777" w:rsidR="00554DF0" w:rsidRDefault="00554DF0" w:rsidP="00554DF0">
            <w:r>
              <w:t xml:space="preserve">Your </w:t>
            </w:r>
            <w:hyperlink r:id="rId9" w:history="1">
              <w:r w:rsidRPr="00802E6A">
                <w:rPr>
                  <w:rStyle w:val="Hyperlink"/>
                </w:rPr>
                <w:t>MyPlate Plan</w:t>
              </w:r>
            </w:hyperlink>
            <w:r>
              <w:t xml:space="preserve"> can help! In 30 seconds, this online tool can help you determine how much you should be eating every day. You will determine how many calories you need and find out how much fruit, vegetables, grains, protein, and dairy to consume. </w:t>
            </w:r>
          </w:p>
          <w:p w14:paraId="5BD8D3D4" w14:textId="77777777" w:rsidR="0084418E" w:rsidRDefault="0084418E" w:rsidP="0084418E">
            <w:pPr>
              <w:pStyle w:val="ListParagraph"/>
            </w:pPr>
          </w:p>
          <w:p w14:paraId="28435D9C" w14:textId="77777777" w:rsidR="00554DF0" w:rsidRPr="00554DF0" w:rsidRDefault="00554DF0" w:rsidP="00554DF0">
            <w:pPr>
              <w:rPr>
                <w:color w:val="404040" w:themeColor="text1" w:themeTint="BF"/>
              </w:rPr>
            </w:pPr>
            <w:r w:rsidRPr="00554DF0">
              <w:rPr>
                <w:color w:val="404040" w:themeColor="text1" w:themeTint="BF"/>
              </w:rPr>
              <w:t xml:space="preserve">It can be difficult to determine, however, what a correct portion size looks like on your plate. </w:t>
            </w:r>
          </w:p>
          <w:p w14:paraId="3B6AEB3C" w14:textId="77777777" w:rsidR="00554DF0" w:rsidRPr="00554DF0" w:rsidRDefault="00554DF0" w:rsidP="00554DF0">
            <w:pPr>
              <w:rPr>
                <w:color w:val="404040" w:themeColor="text1" w:themeTint="BF"/>
              </w:rPr>
            </w:pPr>
          </w:p>
          <w:p w14:paraId="0FCF342B" w14:textId="77777777" w:rsidR="00554DF0" w:rsidRPr="00554DF0" w:rsidRDefault="00554DF0" w:rsidP="00554DF0">
            <w:pPr>
              <w:rPr>
                <w:color w:val="404040" w:themeColor="text1" w:themeTint="BF"/>
              </w:rPr>
            </w:pPr>
            <w:r w:rsidRPr="00554DF0">
              <w:rPr>
                <w:color w:val="404040" w:themeColor="text1" w:themeTint="BF"/>
              </w:rPr>
              <w:t>Over the years, average food portions have increased, leading to overeating and many negative health effects associated with poor nutrition. These include: obesity, heart disease, diabetes, and many more.</w:t>
            </w:r>
          </w:p>
          <w:p w14:paraId="1B110128" w14:textId="77777777" w:rsidR="0084418E" w:rsidRDefault="0084418E" w:rsidP="0084418E">
            <w:pPr>
              <w:pStyle w:val="ListParagraph"/>
            </w:pPr>
          </w:p>
          <w:p w14:paraId="76662376" w14:textId="77777777" w:rsidR="0084418E" w:rsidRDefault="0084418E" w:rsidP="0084418E">
            <w:pPr>
              <w:pStyle w:val="ListParagraph"/>
            </w:pPr>
          </w:p>
          <w:p w14:paraId="476B4E18" w14:textId="77777777" w:rsidR="00554DF0" w:rsidRDefault="00554DF0" w:rsidP="00554DF0">
            <w:r>
              <w:t>Check out how average food portions have changed over time.</w:t>
            </w:r>
          </w:p>
          <w:p w14:paraId="7A9FBBAB" w14:textId="77777777" w:rsidR="0084418E" w:rsidRPr="00A66453" w:rsidRDefault="0084418E" w:rsidP="0084418E">
            <w:pPr>
              <w:pStyle w:val="ListParagraph"/>
            </w:pPr>
          </w:p>
          <w:p w14:paraId="5CEF7DDD" w14:textId="77777777" w:rsidR="0084418E" w:rsidRDefault="0084418E" w:rsidP="0084418E">
            <w:pPr>
              <w:pStyle w:val="ListParagraph"/>
              <w:ind w:left="0"/>
            </w:pPr>
            <w:r>
              <w:t>.</w:t>
            </w:r>
          </w:p>
          <w:p w14:paraId="6ABC731B" w14:textId="77777777" w:rsidR="004B56E1" w:rsidRPr="004B56E1" w:rsidRDefault="004B56E1" w:rsidP="004B56E1">
            <w:pPr>
              <w:jc w:val="center"/>
              <w:rPr>
                <w:color w:val="A6A6A6" w:themeColor="background1" w:themeShade="A6"/>
                <w:sz w:val="18"/>
              </w:rPr>
            </w:pPr>
          </w:p>
        </w:tc>
      </w:tr>
    </w:tbl>
    <w:p w14:paraId="3054B4C2" w14:textId="77777777" w:rsidR="00304925" w:rsidRDefault="00304925"/>
    <w:tbl>
      <w:tblPr>
        <w:tblStyle w:val="TableGrid"/>
        <w:tblpPr w:leftFromText="180" w:rightFromText="180" w:vertAnchor="text" w:horzAnchor="margin" w:tblpXSpec="center" w:tblpY="59"/>
        <w:tblW w:w="0" w:type="auto"/>
        <w:tblLook w:val="04A0" w:firstRow="1" w:lastRow="0" w:firstColumn="1" w:lastColumn="0" w:noHBand="0" w:noVBand="1"/>
      </w:tblPr>
      <w:tblGrid>
        <w:gridCol w:w="3116"/>
        <w:gridCol w:w="3117"/>
        <w:gridCol w:w="3117"/>
      </w:tblGrid>
      <w:tr w:rsidR="00554DF0" w14:paraId="0036A998" w14:textId="77777777" w:rsidTr="00554DF0">
        <w:tc>
          <w:tcPr>
            <w:tcW w:w="3116" w:type="dxa"/>
          </w:tcPr>
          <w:p w14:paraId="3CA751E4" w14:textId="77777777" w:rsidR="00554DF0" w:rsidRDefault="00554DF0" w:rsidP="00554DF0"/>
        </w:tc>
        <w:tc>
          <w:tcPr>
            <w:tcW w:w="3117" w:type="dxa"/>
          </w:tcPr>
          <w:p w14:paraId="79FD6261" w14:textId="77777777" w:rsidR="00554DF0" w:rsidRDefault="00554DF0" w:rsidP="00554DF0">
            <w:pPr>
              <w:jc w:val="center"/>
            </w:pPr>
            <w:r>
              <w:t>20 Years Ago</w:t>
            </w:r>
          </w:p>
        </w:tc>
        <w:tc>
          <w:tcPr>
            <w:tcW w:w="3117" w:type="dxa"/>
          </w:tcPr>
          <w:p w14:paraId="08B4192E" w14:textId="77777777" w:rsidR="00554DF0" w:rsidRDefault="00554DF0" w:rsidP="00554DF0">
            <w:pPr>
              <w:jc w:val="center"/>
            </w:pPr>
            <w:r>
              <w:t>Today</w:t>
            </w:r>
          </w:p>
        </w:tc>
      </w:tr>
      <w:tr w:rsidR="00554DF0" w14:paraId="4EA58858" w14:textId="77777777" w:rsidTr="00554DF0">
        <w:tc>
          <w:tcPr>
            <w:tcW w:w="3116" w:type="dxa"/>
          </w:tcPr>
          <w:p w14:paraId="4C14E251" w14:textId="77777777" w:rsidR="00554DF0" w:rsidRDefault="00554DF0" w:rsidP="00554DF0">
            <w:r>
              <w:t xml:space="preserve">Bagel </w:t>
            </w:r>
          </w:p>
        </w:tc>
        <w:tc>
          <w:tcPr>
            <w:tcW w:w="3117" w:type="dxa"/>
          </w:tcPr>
          <w:p w14:paraId="583B1CCF" w14:textId="77777777" w:rsidR="00554DF0" w:rsidRDefault="00554DF0" w:rsidP="00554DF0">
            <w:r>
              <w:t xml:space="preserve">140 calories, 3-inch diameter </w:t>
            </w:r>
          </w:p>
        </w:tc>
        <w:tc>
          <w:tcPr>
            <w:tcW w:w="3117" w:type="dxa"/>
          </w:tcPr>
          <w:p w14:paraId="6ECD2230" w14:textId="77777777" w:rsidR="00554DF0" w:rsidRDefault="00554DF0" w:rsidP="00554DF0">
            <w:r>
              <w:t xml:space="preserve">350 calories, 6-inch diameter </w:t>
            </w:r>
          </w:p>
        </w:tc>
      </w:tr>
      <w:tr w:rsidR="00554DF0" w14:paraId="76D1978D" w14:textId="77777777" w:rsidTr="00554DF0">
        <w:tc>
          <w:tcPr>
            <w:tcW w:w="3116" w:type="dxa"/>
          </w:tcPr>
          <w:p w14:paraId="3F6C6A04" w14:textId="77777777" w:rsidR="00554DF0" w:rsidRDefault="00554DF0" w:rsidP="00554DF0">
            <w:r>
              <w:t>Cheeseburger</w:t>
            </w:r>
          </w:p>
        </w:tc>
        <w:tc>
          <w:tcPr>
            <w:tcW w:w="3117" w:type="dxa"/>
          </w:tcPr>
          <w:p w14:paraId="3D2BF152" w14:textId="77777777" w:rsidR="00554DF0" w:rsidRDefault="00554DF0" w:rsidP="00554DF0">
            <w:r>
              <w:t>333 calories</w:t>
            </w:r>
          </w:p>
        </w:tc>
        <w:tc>
          <w:tcPr>
            <w:tcW w:w="3117" w:type="dxa"/>
          </w:tcPr>
          <w:p w14:paraId="59D5B6C5" w14:textId="77777777" w:rsidR="00554DF0" w:rsidRDefault="00554DF0" w:rsidP="00554DF0">
            <w:r>
              <w:t xml:space="preserve">590 calories </w:t>
            </w:r>
          </w:p>
        </w:tc>
      </w:tr>
      <w:tr w:rsidR="00554DF0" w14:paraId="035C8E47" w14:textId="77777777" w:rsidTr="00554DF0">
        <w:tc>
          <w:tcPr>
            <w:tcW w:w="3116" w:type="dxa"/>
          </w:tcPr>
          <w:p w14:paraId="61B00351" w14:textId="77777777" w:rsidR="00554DF0" w:rsidRDefault="00554DF0" w:rsidP="00554DF0">
            <w:r>
              <w:t xml:space="preserve">Spaghetti and Meatballs </w:t>
            </w:r>
          </w:p>
        </w:tc>
        <w:tc>
          <w:tcPr>
            <w:tcW w:w="3117" w:type="dxa"/>
          </w:tcPr>
          <w:p w14:paraId="387C2772" w14:textId="77777777" w:rsidR="00554DF0" w:rsidRDefault="00554DF0" w:rsidP="00554DF0">
            <w:r>
              <w:t xml:space="preserve">500 calories </w:t>
            </w:r>
          </w:p>
        </w:tc>
        <w:tc>
          <w:tcPr>
            <w:tcW w:w="3117" w:type="dxa"/>
          </w:tcPr>
          <w:p w14:paraId="0E022545" w14:textId="77777777" w:rsidR="00554DF0" w:rsidRDefault="00554DF0" w:rsidP="00554DF0">
            <w:r>
              <w:t xml:space="preserve">1025 calories </w:t>
            </w:r>
          </w:p>
        </w:tc>
      </w:tr>
      <w:tr w:rsidR="00554DF0" w14:paraId="4C7C6A6D" w14:textId="77777777" w:rsidTr="00554DF0">
        <w:tc>
          <w:tcPr>
            <w:tcW w:w="3116" w:type="dxa"/>
          </w:tcPr>
          <w:p w14:paraId="10CAF4D7" w14:textId="77777777" w:rsidR="00554DF0" w:rsidRDefault="00554DF0" w:rsidP="00554DF0">
            <w:r>
              <w:t xml:space="preserve">French Fries </w:t>
            </w:r>
          </w:p>
        </w:tc>
        <w:tc>
          <w:tcPr>
            <w:tcW w:w="3117" w:type="dxa"/>
          </w:tcPr>
          <w:p w14:paraId="551F94AD" w14:textId="77777777" w:rsidR="00554DF0" w:rsidRDefault="00554DF0" w:rsidP="00554DF0">
            <w:r>
              <w:t xml:space="preserve">210 calories, 2.4 ounces </w:t>
            </w:r>
          </w:p>
        </w:tc>
        <w:tc>
          <w:tcPr>
            <w:tcW w:w="3117" w:type="dxa"/>
          </w:tcPr>
          <w:p w14:paraId="37979002" w14:textId="77777777" w:rsidR="00554DF0" w:rsidRDefault="00554DF0" w:rsidP="00554DF0">
            <w:r>
              <w:t xml:space="preserve">610 calories, 6.9 ounces </w:t>
            </w:r>
          </w:p>
        </w:tc>
      </w:tr>
      <w:tr w:rsidR="00554DF0" w14:paraId="267D284D" w14:textId="77777777" w:rsidTr="00554DF0">
        <w:tc>
          <w:tcPr>
            <w:tcW w:w="3116" w:type="dxa"/>
          </w:tcPr>
          <w:p w14:paraId="5C0BBF4C" w14:textId="77777777" w:rsidR="00554DF0" w:rsidRDefault="00554DF0" w:rsidP="00554DF0">
            <w:r>
              <w:t xml:space="preserve">Soda </w:t>
            </w:r>
          </w:p>
        </w:tc>
        <w:tc>
          <w:tcPr>
            <w:tcW w:w="3117" w:type="dxa"/>
          </w:tcPr>
          <w:p w14:paraId="49B6AF6F" w14:textId="77777777" w:rsidR="00554DF0" w:rsidRDefault="00554DF0" w:rsidP="00554DF0">
            <w:r>
              <w:t xml:space="preserve">85 calories, 6.5 ounces </w:t>
            </w:r>
          </w:p>
        </w:tc>
        <w:tc>
          <w:tcPr>
            <w:tcW w:w="3117" w:type="dxa"/>
          </w:tcPr>
          <w:p w14:paraId="00751397" w14:textId="77777777" w:rsidR="00554DF0" w:rsidRDefault="00554DF0" w:rsidP="00554DF0">
            <w:r>
              <w:t xml:space="preserve">250 calories, 20 ounces </w:t>
            </w:r>
          </w:p>
        </w:tc>
      </w:tr>
    </w:tbl>
    <w:p w14:paraId="2A7FDE67" w14:textId="77777777" w:rsidR="004B12EC" w:rsidRDefault="004B12EC"/>
    <w:p w14:paraId="0683DEE4" w14:textId="77777777" w:rsidR="004B12EC" w:rsidRDefault="004B12EC"/>
    <w:p w14:paraId="0C0A74E9" w14:textId="77777777" w:rsidR="004B12EC" w:rsidRDefault="004B12EC"/>
    <w:p w14:paraId="0833C097" w14:textId="77777777" w:rsidR="003E5B94" w:rsidRDefault="003E5B94"/>
    <w:p w14:paraId="44700396" w14:textId="77777777" w:rsidR="003E5B94" w:rsidRDefault="003E5B94"/>
    <w:p w14:paraId="18465F75" w14:textId="77777777" w:rsidR="00D14F2E" w:rsidRDefault="00D14F2E"/>
    <w:p w14:paraId="5EC8D216" w14:textId="77777777" w:rsidR="00D14F2E" w:rsidRDefault="00D14F2E"/>
    <w:p w14:paraId="593073E0" w14:textId="77777777" w:rsidR="00D14F2E" w:rsidRDefault="00D14F2E"/>
    <w:p w14:paraId="32DA4911" w14:textId="77777777" w:rsidR="00D14F2E" w:rsidRDefault="00D14F2E"/>
    <w:p w14:paraId="7B31F234" w14:textId="77777777" w:rsidR="00554DF0" w:rsidRDefault="00554DF0" w:rsidP="00554DF0">
      <w:r>
        <w:t xml:space="preserve">To find out what a correct serving size looks like, click here. </w:t>
      </w:r>
    </w:p>
    <w:p w14:paraId="4625BDB6" w14:textId="77777777" w:rsidR="00554DF0" w:rsidRDefault="00554DF0"/>
    <w:p w14:paraId="30EBBCAB" w14:textId="77777777" w:rsidR="003E5B94" w:rsidRDefault="003E5B94"/>
    <w:p w14:paraId="5EB1C5E2" w14:textId="77777777" w:rsidR="00FC404B" w:rsidRDefault="00FC404B"/>
    <w:p w14:paraId="6501602B" w14:textId="77777777" w:rsidR="003E5B94" w:rsidRPr="00C631EA" w:rsidRDefault="003E5B94">
      <w:pPr>
        <w:rPr>
          <w:i/>
          <w:color w:val="C0504D" w:themeColor="accent2"/>
        </w:rPr>
      </w:pPr>
    </w:p>
    <w:sectPr w:rsidR="003E5B94" w:rsidRPr="00C631EA" w:rsidSect="00EE12C9">
      <w:pgSz w:w="12240" w:h="20160" w:code="5"/>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B08E" w14:textId="77777777" w:rsidR="00AE30F5" w:rsidRDefault="00AE30F5" w:rsidP="00C631EA">
      <w:r>
        <w:separator/>
      </w:r>
    </w:p>
  </w:endnote>
  <w:endnote w:type="continuationSeparator" w:id="0">
    <w:p w14:paraId="5ADE26B0" w14:textId="77777777" w:rsidR="00AE30F5" w:rsidRDefault="00AE30F5" w:rsidP="00C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E6E7" w14:textId="77777777" w:rsidR="00AE30F5" w:rsidRDefault="00AE30F5" w:rsidP="00C631EA">
      <w:r>
        <w:separator/>
      </w:r>
    </w:p>
  </w:footnote>
  <w:footnote w:type="continuationSeparator" w:id="0">
    <w:p w14:paraId="19C5F154" w14:textId="77777777" w:rsidR="00AE30F5" w:rsidRDefault="00AE30F5" w:rsidP="00C63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487"/>
    <w:multiLevelType w:val="hybridMultilevel"/>
    <w:tmpl w:val="19A2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25073"/>
    <w:multiLevelType w:val="hybridMultilevel"/>
    <w:tmpl w:val="488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49C3"/>
    <w:multiLevelType w:val="hybridMultilevel"/>
    <w:tmpl w:val="F0F6CE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B566467"/>
    <w:multiLevelType w:val="hybridMultilevel"/>
    <w:tmpl w:val="22CC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84964"/>
    <w:multiLevelType w:val="hybridMultilevel"/>
    <w:tmpl w:val="D602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C7062"/>
    <w:multiLevelType w:val="hybridMultilevel"/>
    <w:tmpl w:val="77C0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D489C"/>
    <w:multiLevelType w:val="hybridMultilevel"/>
    <w:tmpl w:val="9C1C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C13BF"/>
    <w:multiLevelType w:val="hybridMultilevel"/>
    <w:tmpl w:val="98D219DC"/>
    <w:lvl w:ilvl="0" w:tplc="921480C0">
      <w:start w:val="1"/>
      <w:numFmt w:val="bullet"/>
      <w:lvlText w:val="•"/>
      <w:lvlJc w:val="left"/>
      <w:pPr>
        <w:tabs>
          <w:tab w:val="num" w:pos="720"/>
        </w:tabs>
        <w:ind w:left="720" w:hanging="360"/>
      </w:pPr>
      <w:rPr>
        <w:rFonts w:ascii="Arial" w:hAnsi="Arial" w:hint="default"/>
      </w:rPr>
    </w:lvl>
    <w:lvl w:ilvl="1" w:tplc="B8DEA042" w:tentative="1">
      <w:start w:val="1"/>
      <w:numFmt w:val="bullet"/>
      <w:lvlText w:val="•"/>
      <w:lvlJc w:val="left"/>
      <w:pPr>
        <w:tabs>
          <w:tab w:val="num" w:pos="1440"/>
        </w:tabs>
        <w:ind w:left="1440" w:hanging="360"/>
      </w:pPr>
      <w:rPr>
        <w:rFonts w:ascii="Arial" w:hAnsi="Arial" w:hint="default"/>
      </w:rPr>
    </w:lvl>
    <w:lvl w:ilvl="2" w:tplc="B47EF942" w:tentative="1">
      <w:start w:val="1"/>
      <w:numFmt w:val="bullet"/>
      <w:lvlText w:val="•"/>
      <w:lvlJc w:val="left"/>
      <w:pPr>
        <w:tabs>
          <w:tab w:val="num" w:pos="2160"/>
        </w:tabs>
        <w:ind w:left="2160" w:hanging="360"/>
      </w:pPr>
      <w:rPr>
        <w:rFonts w:ascii="Arial" w:hAnsi="Arial" w:hint="default"/>
      </w:rPr>
    </w:lvl>
    <w:lvl w:ilvl="3" w:tplc="0F520E0E" w:tentative="1">
      <w:start w:val="1"/>
      <w:numFmt w:val="bullet"/>
      <w:lvlText w:val="•"/>
      <w:lvlJc w:val="left"/>
      <w:pPr>
        <w:tabs>
          <w:tab w:val="num" w:pos="2880"/>
        </w:tabs>
        <w:ind w:left="2880" w:hanging="360"/>
      </w:pPr>
      <w:rPr>
        <w:rFonts w:ascii="Arial" w:hAnsi="Arial" w:hint="default"/>
      </w:rPr>
    </w:lvl>
    <w:lvl w:ilvl="4" w:tplc="B4E2DABA" w:tentative="1">
      <w:start w:val="1"/>
      <w:numFmt w:val="bullet"/>
      <w:lvlText w:val="•"/>
      <w:lvlJc w:val="left"/>
      <w:pPr>
        <w:tabs>
          <w:tab w:val="num" w:pos="3600"/>
        </w:tabs>
        <w:ind w:left="3600" w:hanging="360"/>
      </w:pPr>
      <w:rPr>
        <w:rFonts w:ascii="Arial" w:hAnsi="Arial" w:hint="default"/>
      </w:rPr>
    </w:lvl>
    <w:lvl w:ilvl="5" w:tplc="8C32E062" w:tentative="1">
      <w:start w:val="1"/>
      <w:numFmt w:val="bullet"/>
      <w:lvlText w:val="•"/>
      <w:lvlJc w:val="left"/>
      <w:pPr>
        <w:tabs>
          <w:tab w:val="num" w:pos="4320"/>
        </w:tabs>
        <w:ind w:left="4320" w:hanging="360"/>
      </w:pPr>
      <w:rPr>
        <w:rFonts w:ascii="Arial" w:hAnsi="Arial" w:hint="default"/>
      </w:rPr>
    </w:lvl>
    <w:lvl w:ilvl="6" w:tplc="A41C2EB0" w:tentative="1">
      <w:start w:val="1"/>
      <w:numFmt w:val="bullet"/>
      <w:lvlText w:val="•"/>
      <w:lvlJc w:val="left"/>
      <w:pPr>
        <w:tabs>
          <w:tab w:val="num" w:pos="5040"/>
        </w:tabs>
        <w:ind w:left="5040" w:hanging="360"/>
      </w:pPr>
      <w:rPr>
        <w:rFonts w:ascii="Arial" w:hAnsi="Arial" w:hint="default"/>
      </w:rPr>
    </w:lvl>
    <w:lvl w:ilvl="7" w:tplc="6CBE3A18" w:tentative="1">
      <w:start w:val="1"/>
      <w:numFmt w:val="bullet"/>
      <w:lvlText w:val="•"/>
      <w:lvlJc w:val="left"/>
      <w:pPr>
        <w:tabs>
          <w:tab w:val="num" w:pos="5760"/>
        </w:tabs>
        <w:ind w:left="5760" w:hanging="360"/>
      </w:pPr>
      <w:rPr>
        <w:rFonts w:ascii="Arial" w:hAnsi="Arial" w:hint="default"/>
      </w:rPr>
    </w:lvl>
    <w:lvl w:ilvl="8" w:tplc="02F6DF6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25"/>
    <w:rsid w:val="000358A5"/>
    <w:rsid w:val="00081FAF"/>
    <w:rsid w:val="000878B9"/>
    <w:rsid w:val="00092F1F"/>
    <w:rsid w:val="0009480D"/>
    <w:rsid w:val="000B1651"/>
    <w:rsid w:val="000C4398"/>
    <w:rsid w:val="000F70F2"/>
    <w:rsid w:val="00145487"/>
    <w:rsid w:val="00147435"/>
    <w:rsid w:val="001668F9"/>
    <w:rsid w:val="001979D8"/>
    <w:rsid w:val="001A7168"/>
    <w:rsid w:val="001D598B"/>
    <w:rsid w:val="001D77F6"/>
    <w:rsid w:val="00273C02"/>
    <w:rsid w:val="00273FC7"/>
    <w:rsid w:val="002A352D"/>
    <w:rsid w:val="002B6B7B"/>
    <w:rsid w:val="002D7A59"/>
    <w:rsid w:val="00304925"/>
    <w:rsid w:val="00311506"/>
    <w:rsid w:val="0033675B"/>
    <w:rsid w:val="00373CA7"/>
    <w:rsid w:val="003878C9"/>
    <w:rsid w:val="00393B0C"/>
    <w:rsid w:val="00396D76"/>
    <w:rsid w:val="003E5B94"/>
    <w:rsid w:val="003F5BD5"/>
    <w:rsid w:val="00405E39"/>
    <w:rsid w:val="00412E69"/>
    <w:rsid w:val="00426D64"/>
    <w:rsid w:val="00426E36"/>
    <w:rsid w:val="00437A16"/>
    <w:rsid w:val="00444561"/>
    <w:rsid w:val="00494FD7"/>
    <w:rsid w:val="004B12EC"/>
    <w:rsid w:val="004B56E1"/>
    <w:rsid w:val="004C6383"/>
    <w:rsid w:val="00522C4B"/>
    <w:rsid w:val="00523935"/>
    <w:rsid w:val="00526DED"/>
    <w:rsid w:val="00554DF0"/>
    <w:rsid w:val="0056590B"/>
    <w:rsid w:val="005930CB"/>
    <w:rsid w:val="005A05DA"/>
    <w:rsid w:val="005A7628"/>
    <w:rsid w:val="00602E05"/>
    <w:rsid w:val="00624354"/>
    <w:rsid w:val="006243D1"/>
    <w:rsid w:val="00671F2C"/>
    <w:rsid w:val="00674110"/>
    <w:rsid w:val="0069299C"/>
    <w:rsid w:val="006C6906"/>
    <w:rsid w:val="006C7EE2"/>
    <w:rsid w:val="006D2DC0"/>
    <w:rsid w:val="006D2DF2"/>
    <w:rsid w:val="00723EAF"/>
    <w:rsid w:val="00740C6A"/>
    <w:rsid w:val="00741ED8"/>
    <w:rsid w:val="00744AAE"/>
    <w:rsid w:val="00773CFA"/>
    <w:rsid w:val="007A2FA7"/>
    <w:rsid w:val="007D5728"/>
    <w:rsid w:val="00801F5D"/>
    <w:rsid w:val="008079B2"/>
    <w:rsid w:val="00810D33"/>
    <w:rsid w:val="00833B11"/>
    <w:rsid w:val="0084197E"/>
    <w:rsid w:val="0084418E"/>
    <w:rsid w:val="008B06F7"/>
    <w:rsid w:val="008F7560"/>
    <w:rsid w:val="00945E0B"/>
    <w:rsid w:val="009D7A9E"/>
    <w:rsid w:val="00A10369"/>
    <w:rsid w:val="00A13069"/>
    <w:rsid w:val="00A141A3"/>
    <w:rsid w:val="00A269AA"/>
    <w:rsid w:val="00A54577"/>
    <w:rsid w:val="00A976C2"/>
    <w:rsid w:val="00AC5AED"/>
    <w:rsid w:val="00AD76A8"/>
    <w:rsid w:val="00AE30F5"/>
    <w:rsid w:val="00AE4089"/>
    <w:rsid w:val="00B0122D"/>
    <w:rsid w:val="00B01613"/>
    <w:rsid w:val="00B479D4"/>
    <w:rsid w:val="00B51C2D"/>
    <w:rsid w:val="00BA0F20"/>
    <w:rsid w:val="00BF4643"/>
    <w:rsid w:val="00C1141B"/>
    <w:rsid w:val="00C30962"/>
    <w:rsid w:val="00C3231A"/>
    <w:rsid w:val="00C631EA"/>
    <w:rsid w:val="00C7324D"/>
    <w:rsid w:val="00CA13E9"/>
    <w:rsid w:val="00CC0C53"/>
    <w:rsid w:val="00CE285C"/>
    <w:rsid w:val="00D054A1"/>
    <w:rsid w:val="00D1412E"/>
    <w:rsid w:val="00D14F2E"/>
    <w:rsid w:val="00D354B5"/>
    <w:rsid w:val="00D651F7"/>
    <w:rsid w:val="00DA0F93"/>
    <w:rsid w:val="00DF71AC"/>
    <w:rsid w:val="00DF7A45"/>
    <w:rsid w:val="00E560D8"/>
    <w:rsid w:val="00E56B0A"/>
    <w:rsid w:val="00E72D91"/>
    <w:rsid w:val="00EA3044"/>
    <w:rsid w:val="00EB54A4"/>
    <w:rsid w:val="00EB6E33"/>
    <w:rsid w:val="00EE12C9"/>
    <w:rsid w:val="00EF0B74"/>
    <w:rsid w:val="00EF417A"/>
    <w:rsid w:val="00F001A5"/>
    <w:rsid w:val="00F674F1"/>
    <w:rsid w:val="00F839F9"/>
    <w:rsid w:val="00F95764"/>
    <w:rsid w:val="00FA0E32"/>
    <w:rsid w:val="00FA5867"/>
    <w:rsid w:val="00FC404B"/>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7677"/>
  <w15:docId w15:val="{1DC7FA08-4BA0-4024-B9DF-07DEA97A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B5"/>
    <w:pPr>
      <w:spacing w:after="0" w:line="240" w:lineRule="auto"/>
    </w:pPr>
    <w:rPr>
      <w:rFonts w:ascii="Arial" w:hAnsi="Arial"/>
      <w:color w:val="4D4D4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4F1"/>
    <w:rPr>
      <w:color w:val="4AB4EB"/>
      <w:u w:val="none"/>
    </w:rPr>
  </w:style>
  <w:style w:type="paragraph" w:styleId="BalloonText">
    <w:name w:val="Balloon Text"/>
    <w:basedOn w:val="Normal"/>
    <w:link w:val="BalloonTextChar"/>
    <w:uiPriority w:val="99"/>
    <w:semiHidden/>
    <w:unhideWhenUsed/>
    <w:rsid w:val="00D354B5"/>
    <w:rPr>
      <w:rFonts w:ascii="Tahoma" w:hAnsi="Tahoma" w:cs="Tahoma"/>
      <w:sz w:val="16"/>
      <w:szCs w:val="16"/>
    </w:rPr>
  </w:style>
  <w:style w:type="character" w:customStyle="1" w:styleId="BalloonTextChar">
    <w:name w:val="Balloon Text Char"/>
    <w:basedOn w:val="DefaultParagraphFont"/>
    <w:link w:val="BalloonText"/>
    <w:uiPriority w:val="99"/>
    <w:semiHidden/>
    <w:rsid w:val="00D354B5"/>
    <w:rPr>
      <w:rFonts w:ascii="Tahoma" w:hAnsi="Tahoma" w:cs="Tahoma"/>
      <w:sz w:val="16"/>
      <w:szCs w:val="16"/>
    </w:rPr>
  </w:style>
  <w:style w:type="paragraph" w:styleId="ListParagraph">
    <w:name w:val="List Paragraph"/>
    <w:basedOn w:val="Normal"/>
    <w:uiPriority w:val="34"/>
    <w:qFormat/>
    <w:rsid w:val="002D7A59"/>
    <w:pPr>
      <w:ind w:left="720"/>
      <w:contextualSpacing/>
    </w:pPr>
  </w:style>
  <w:style w:type="character" w:customStyle="1" w:styleId="tx2">
    <w:name w:val="tx2"/>
    <w:basedOn w:val="DefaultParagraphFont"/>
    <w:rsid w:val="00E72D91"/>
  </w:style>
  <w:style w:type="paragraph" w:styleId="Header">
    <w:name w:val="header"/>
    <w:basedOn w:val="Normal"/>
    <w:link w:val="HeaderChar"/>
    <w:uiPriority w:val="99"/>
    <w:unhideWhenUsed/>
    <w:rsid w:val="00C631EA"/>
    <w:pPr>
      <w:tabs>
        <w:tab w:val="center" w:pos="4680"/>
        <w:tab w:val="right" w:pos="9360"/>
      </w:tabs>
    </w:pPr>
  </w:style>
  <w:style w:type="character" w:customStyle="1" w:styleId="HeaderChar">
    <w:name w:val="Header Char"/>
    <w:basedOn w:val="DefaultParagraphFont"/>
    <w:link w:val="Header"/>
    <w:uiPriority w:val="99"/>
    <w:rsid w:val="00C631EA"/>
    <w:rPr>
      <w:rFonts w:ascii="Arial" w:hAnsi="Arial"/>
      <w:color w:val="4D4D4D"/>
      <w:sz w:val="24"/>
    </w:rPr>
  </w:style>
  <w:style w:type="paragraph" w:styleId="Footer">
    <w:name w:val="footer"/>
    <w:basedOn w:val="Normal"/>
    <w:link w:val="FooterChar"/>
    <w:uiPriority w:val="99"/>
    <w:unhideWhenUsed/>
    <w:rsid w:val="00C631EA"/>
    <w:pPr>
      <w:tabs>
        <w:tab w:val="center" w:pos="4680"/>
        <w:tab w:val="right" w:pos="9360"/>
      </w:tabs>
    </w:pPr>
  </w:style>
  <w:style w:type="character" w:customStyle="1" w:styleId="FooterChar">
    <w:name w:val="Footer Char"/>
    <w:basedOn w:val="DefaultParagraphFont"/>
    <w:link w:val="Footer"/>
    <w:uiPriority w:val="99"/>
    <w:rsid w:val="00C631EA"/>
    <w:rPr>
      <w:rFonts w:ascii="Arial" w:hAnsi="Arial"/>
      <w:color w:val="4D4D4D"/>
      <w:sz w:val="24"/>
    </w:rPr>
  </w:style>
  <w:style w:type="paragraph" w:styleId="NoSpacing">
    <w:name w:val="No Spacing"/>
    <w:uiPriority w:val="1"/>
    <w:qFormat/>
    <w:rsid w:val="00C30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6726">
      <w:bodyDiv w:val="1"/>
      <w:marLeft w:val="0"/>
      <w:marRight w:val="0"/>
      <w:marTop w:val="0"/>
      <w:marBottom w:val="0"/>
      <w:divBdr>
        <w:top w:val="none" w:sz="0" w:space="0" w:color="auto"/>
        <w:left w:val="none" w:sz="0" w:space="0" w:color="auto"/>
        <w:bottom w:val="none" w:sz="0" w:space="0" w:color="auto"/>
        <w:right w:val="none" w:sz="0" w:space="0" w:color="auto"/>
      </w:divBdr>
      <w:divsChild>
        <w:div w:id="36466864">
          <w:marLeft w:val="274"/>
          <w:marRight w:val="0"/>
          <w:marTop w:val="0"/>
          <w:marBottom w:val="0"/>
          <w:divBdr>
            <w:top w:val="none" w:sz="0" w:space="0" w:color="auto"/>
            <w:left w:val="none" w:sz="0" w:space="0" w:color="auto"/>
            <w:bottom w:val="none" w:sz="0" w:space="0" w:color="auto"/>
            <w:right w:val="none" w:sz="0" w:space="0" w:color="auto"/>
          </w:divBdr>
        </w:div>
        <w:div w:id="943922048">
          <w:marLeft w:val="274"/>
          <w:marRight w:val="0"/>
          <w:marTop w:val="0"/>
          <w:marBottom w:val="0"/>
          <w:divBdr>
            <w:top w:val="none" w:sz="0" w:space="0" w:color="auto"/>
            <w:left w:val="none" w:sz="0" w:space="0" w:color="auto"/>
            <w:bottom w:val="none" w:sz="0" w:space="0" w:color="auto"/>
            <w:right w:val="none" w:sz="0" w:space="0" w:color="auto"/>
          </w:divBdr>
        </w:div>
        <w:div w:id="405148191">
          <w:marLeft w:val="274"/>
          <w:marRight w:val="0"/>
          <w:marTop w:val="0"/>
          <w:marBottom w:val="0"/>
          <w:divBdr>
            <w:top w:val="none" w:sz="0" w:space="0" w:color="auto"/>
            <w:left w:val="none" w:sz="0" w:space="0" w:color="auto"/>
            <w:bottom w:val="none" w:sz="0" w:space="0" w:color="auto"/>
            <w:right w:val="none" w:sz="0" w:space="0" w:color="auto"/>
          </w:divBdr>
        </w:div>
        <w:div w:id="970593803">
          <w:marLeft w:val="274"/>
          <w:marRight w:val="0"/>
          <w:marTop w:val="0"/>
          <w:marBottom w:val="0"/>
          <w:divBdr>
            <w:top w:val="none" w:sz="0" w:space="0" w:color="auto"/>
            <w:left w:val="none" w:sz="0" w:space="0" w:color="auto"/>
            <w:bottom w:val="none" w:sz="0" w:space="0" w:color="auto"/>
            <w:right w:val="none" w:sz="0" w:space="0" w:color="auto"/>
          </w:divBdr>
        </w:div>
        <w:div w:id="1650816992">
          <w:marLeft w:val="274"/>
          <w:marRight w:val="0"/>
          <w:marTop w:val="0"/>
          <w:marBottom w:val="0"/>
          <w:divBdr>
            <w:top w:val="none" w:sz="0" w:space="0" w:color="auto"/>
            <w:left w:val="none" w:sz="0" w:space="0" w:color="auto"/>
            <w:bottom w:val="none" w:sz="0" w:space="0" w:color="auto"/>
            <w:right w:val="none" w:sz="0" w:space="0" w:color="auto"/>
          </w:divBdr>
        </w:div>
        <w:div w:id="14116327">
          <w:marLeft w:val="274"/>
          <w:marRight w:val="0"/>
          <w:marTop w:val="0"/>
          <w:marBottom w:val="0"/>
          <w:divBdr>
            <w:top w:val="none" w:sz="0" w:space="0" w:color="auto"/>
            <w:left w:val="none" w:sz="0" w:space="0" w:color="auto"/>
            <w:bottom w:val="none" w:sz="0" w:space="0" w:color="auto"/>
            <w:right w:val="none" w:sz="0" w:space="0" w:color="auto"/>
          </w:divBdr>
        </w:div>
      </w:divsChild>
    </w:div>
    <w:div w:id="2003047018">
      <w:bodyDiv w:val="1"/>
      <w:marLeft w:val="0"/>
      <w:marRight w:val="0"/>
      <w:marTop w:val="0"/>
      <w:marBottom w:val="0"/>
      <w:divBdr>
        <w:top w:val="none" w:sz="0" w:space="0" w:color="auto"/>
        <w:left w:val="none" w:sz="0" w:space="0" w:color="auto"/>
        <w:bottom w:val="none" w:sz="0" w:space="0" w:color="auto"/>
        <w:right w:val="none" w:sz="0" w:space="0" w:color="auto"/>
      </w:divBdr>
      <w:divsChild>
        <w:div w:id="1730348682">
          <w:marLeft w:val="0"/>
          <w:marRight w:val="0"/>
          <w:marTop w:val="0"/>
          <w:marBottom w:val="0"/>
          <w:divBdr>
            <w:top w:val="none" w:sz="0" w:space="0" w:color="auto"/>
            <w:left w:val="none" w:sz="0" w:space="0" w:color="auto"/>
            <w:bottom w:val="none" w:sz="0" w:space="0" w:color="auto"/>
            <w:right w:val="none" w:sz="0" w:space="0" w:color="auto"/>
          </w:divBdr>
          <w:divsChild>
            <w:div w:id="1987003142">
              <w:marLeft w:val="0"/>
              <w:marRight w:val="0"/>
              <w:marTop w:val="0"/>
              <w:marBottom w:val="0"/>
              <w:divBdr>
                <w:top w:val="none" w:sz="0" w:space="0" w:color="auto"/>
                <w:left w:val="none" w:sz="0" w:space="0" w:color="auto"/>
                <w:bottom w:val="none" w:sz="0" w:space="0" w:color="auto"/>
                <w:right w:val="none" w:sz="0" w:space="0" w:color="auto"/>
              </w:divBdr>
              <w:divsChild>
                <w:div w:id="1638754224">
                  <w:marLeft w:val="0"/>
                  <w:marRight w:val="0"/>
                  <w:marTop w:val="0"/>
                  <w:marBottom w:val="0"/>
                  <w:divBdr>
                    <w:top w:val="none" w:sz="0" w:space="0" w:color="auto"/>
                    <w:left w:val="none" w:sz="0" w:space="0" w:color="auto"/>
                    <w:bottom w:val="none" w:sz="0" w:space="0" w:color="auto"/>
                    <w:right w:val="none" w:sz="0" w:space="0" w:color="auto"/>
                  </w:divBdr>
                  <w:divsChild>
                    <w:div w:id="1697535688">
                      <w:marLeft w:val="0"/>
                      <w:marRight w:val="0"/>
                      <w:marTop w:val="0"/>
                      <w:marBottom w:val="0"/>
                      <w:divBdr>
                        <w:top w:val="none" w:sz="0" w:space="0" w:color="auto"/>
                        <w:left w:val="none" w:sz="0" w:space="0" w:color="auto"/>
                        <w:bottom w:val="none" w:sz="0" w:space="0" w:color="auto"/>
                        <w:right w:val="none" w:sz="0" w:space="0" w:color="auto"/>
                      </w:divBdr>
                      <w:divsChild>
                        <w:div w:id="1484468984">
                          <w:marLeft w:val="0"/>
                          <w:marRight w:val="0"/>
                          <w:marTop w:val="0"/>
                          <w:marBottom w:val="0"/>
                          <w:divBdr>
                            <w:top w:val="none" w:sz="0" w:space="0" w:color="auto"/>
                            <w:left w:val="none" w:sz="0" w:space="0" w:color="auto"/>
                            <w:bottom w:val="none" w:sz="0" w:space="0" w:color="auto"/>
                            <w:right w:val="none" w:sz="0" w:space="0" w:color="auto"/>
                          </w:divBdr>
                          <w:divsChild>
                            <w:div w:id="1997219852">
                              <w:marLeft w:val="0"/>
                              <w:marRight w:val="0"/>
                              <w:marTop w:val="0"/>
                              <w:marBottom w:val="0"/>
                              <w:divBdr>
                                <w:top w:val="none" w:sz="0" w:space="0" w:color="auto"/>
                                <w:left w:val="none" w:sz="0" w:space="0" w:color="auto"/>
                                <w:bottom w:val="none" w:sz="0" w:space="0" w:color="auto"/>
                                <w:right w:val="none" w:sz="0" w:space="0" w:color="auto"/>
                              </w:divBdr>
                              <w:divsChild>
                                <w:div w:id="1275286527">
                                  <w:marLeft w:val="0"/>
                                  <w:marRight w:val="0"/>
                                  <w:marTop w:val="0"/>
                                  <w:marBottom w:val="0"/>
                                  <w:divBdr>
                                    <w:top w:val="none" w:sz="0" w:space="0" w:color="auto"/>
                                    <w:left w:val="none" w:sz="0" w:space="0" w:color="auto"/>
                                    <w:bottom w:val="none" w:sz="0" w:space="0" w:color="auto"/>
                                    <w:right w:val="none" w:sz="0" w:space="0" w:color="auto"/>
                                  </w:divBdr>
                                  <w:divsChild>
                                    <w:div w:id="939097819">
                                      <w:marLeft w:val="0"/>
                                      <w:marRight w:val="0"/>
                                      <w:marTop w:val="0"/>
                                      <w:marBottom w:val="0"/>
                                      <w:divBdr>
                                        <w:top w:val="none" w:sz="0" w:space="0" w:color="auto"/>
                                        <w:left w:val="none" w:sz="0" w:space="0" w:color="auto"/>
                                        <w:bottom w:val="none" w:sz="0" w:space="0" w:color="auto"/>
                                        <w:right w:val="none" w:sz="0" w:space="0" w:color="auto"/>
                                      </w:divBdr>
                                      <w:divsChild>
                                        <w:div w:id="2007660257">
                                          <w:marLeft w:val="0"/>
                                          <w:marRight w:val="0"/>
                                          <w:marTop w:val="0"/>
                                          <w:marBottom w:val="0"/>
                                          <w:divBdr>
                                            <w:top w:val="none" w:sz="0" w:space="0" w:color="auto"/>
                                            <w:left w:val="none" w:sz="0" w:space="0" w:color="auto"/>
                                            <w:bottom w:val="none" w:sz="0" w:space="0" w:color="auto"/>
                                            <w:right w:val="none" w:sz="0" w:space="0" w:color="auto"/>
                                          </w:divBdr>
                                          <w:divsChild>
                                            <w:div w:id="1484660054">
                                              <w:marLeft w:val="0"/>
                                              <w:marRight w:val="0"/>
                                              <w:marTop w:val="0"/>
                                              <w:marBottom w:val="0"/>
                                              <w:divBdr>
                                                <w:top w:val="none" w:sz="0" w:space="0" w:color="auto"/>
                                                <w:left w:val="none" w:sz="0" w:space="0" w:color="auto"/>
                                                <w:bottom w:val="none" w:sz="0" w:space="0" w:color="auto"/>
                                                <w:right w:val="none" w:sz="0" w:space="0" w:color="auto"/>
                                              </w:divBdr>
                                              <w:divsChild>
                                                <w:div w:id="86272822">
                                                  <w:marLeft w:val="0"/>
                                                  <w:marRight w:val="0"/>
                                                  <w:marTop w:val="0"/>
                                                  <w:marBottom w:val="0"/>
                                                  <w:divBdr>
                                                    <w:top w:val="none" w:sz="0" w:space="0" w:color="auto"/>
                                                    <w:left w:val="none" w:sz="0" w:space="0" w:color="auto"/>
                                                    <w:bottom w:val="none" w:sz="0" w:space="0" w:color="auto"/>
                                                    <w:right w:val="none" w:sz="0" w:space="0" w:color="auto"/>
                                                  </w:divBdr>
                                                </w:div>
                                                <w:div w:id="549995888">
                                                  <w:marLeft w:val="0"/>
                                                  <w:marRight w:val="0"/>
                                                  <w:marTop w:val="0"/>
                                                  <w:marBottom w:val="0"/>
                                                  <w:divBdr>
                                                    <w:top w:val="none" w:sz="0" w:space="0" w:color="auto"/>
                                                    <w:left w:val="none" w:sz="0" w:space="0" w:color="auto"/>
                                                    <w:bottom w:val="none" w:sz="0" w:space="0" w:color="auto"/>
                                                    <w:right w:val="none" w:sz="0" w:space="0" w:color="auto"/>
                                                  </w:divBdr>
                                                </w:div>
                                                <w:div w:id="1678144708">
                                                  <w:marLeft w:val="0"/>
                                                  <w:marRight w:val="0"/>
                                                  <w:marTop w:val="0"/>
                                                  <w:marBottom w:val="0"/>
                                                  <w:divBdr>
                                                    <w:top w:val="none" w:sz="0" w:space="0" w:color="auto"/>
                                                    <w:left w:val="none" w:sz="0" w:space="0" w:color="auto"/>
                                                    <w:bottom w:val="none" w:sz="0" w:space="0" w:color="auto"/>
                                                    <w:right w:val="none" w:sz="0" w:space="0" w:color="auto"/>
                                                  </w:divBdr>
                                                </w:div>
                                                <w:div w:id="5738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oosemyplate.gov/MyPlat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9C5D-5EEF-0F48-8305-93F7300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Edgewood Partners Insurance Center</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Mohs</cp:lastModifiedBy>
  <cp:revision>3</cp:revision>
  <dcterms:created xsi:type="dcterms:W3CDTF">2019-01-08T18:47:00Z</dcterms:created>
  <dcterms:modified xsi:type="dcterms:W3CDTF">2019-08-22T01:31:00Z</dcterms:modified>
</cp:coreProperties>
</file>